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9262" w14:textId="77777777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1C485748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         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 xml:space="preserve">. Cofnięcie zgody może nastąpić w formie pisemnej lub elektronicznej </w:t>
      </w:r>
      <w:r w:rsidR="007C0E6E" w:rsidRPr="007C0E6E">
        <w:rPr>
          <w:rFonts w:eastAsia="Calibri" w:cstheme="minorHAnsi"/>
        </w:rPr>
        <w:lastRenderedPageBreak/>
        <w:t>poprzez e-mail 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4FBF"/>
    <w:rsid w:val="002103D2"/>
    <w:rsid w:val="00251C18"/>
    <w:rsid w:val="00255F51"/>
    <w:rsid w:val="002848F9"/>
    <w:rsid w:val="002A733B"/>
    <w:rsid w:val="002C6C21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E3AA9"/>
    <w:rsid w:val="006E6762"/>
    <w:rsid w:val="00755598"/>
    <w:rsid w:val="0077181D"/>
    <w:rsid w:val="007B53AE"/>
    <w:rsid w:val="007C0E6E"/>
    <w:rsid w:val="00881B98"/>
    <w:rsid w:val="009313BD"/>
    <w:rsid w:val="009947C2"/>
    <w:rsid w:val="009C33CC"/>
    <w:rsid w:val="009C5819"/>
    <w:rsid w:val="009D64A7"/>
    <w:rsid w:val="00A746B3"/>
    <w:rsid w:val="00A84B99"/>
    <w:rsid w:val="00B44A36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37212"/>
    <w:rsid w:val="00F61A3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</cp:lastModifiedBy>
  <cp:revision>2</cp:revision>
  <cp:lastPrinted>2018-05-27T09:25:00Z</cp:lastPrinted>
  <dcterms:created xsi:type="dcterms:W3CDTF">2022-08-17T09:14:00Z</dcterms:created>
  <dcterms:modified xsi:type="dcterms:W3CDTF">2022-08-17T09:14:00Z</dcterms:modified>
</cp:coreProperties>
</file>